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663"/>
        <w:gridCol w:w="1718"/>
        <w:gridCol w:w="2784"/>
      </w:tblGrid>
      <w:tr w:rsidR="00C16AEF" w:rsidRPr="007D2A0C" w:rsidTr="002863AA">
        <w:tc>
          <w:tcPr>
            <w:tcW w:w="4663" w:type="dxa"/>
            <w:tcMar>
              <w:top w:w="85" w:type="dxa"/>
            </w:tcMar>
            <w:vAlign w:val="center"/>
          </w:tcPr>
          <w:p w:rsidR="00C16AEF" w:rsidRPr="007D2A0C" w:rsidRDefault="00C16AEF" w:rsidP="00A2027A">
            <w:pPr>
              <w:keepNext/>
              <w:spacing w:before="80" w:after="40"/>
              <w:jc w:val="center"/>
              <w:rPr>
                <w:b/>
              </w:rPr>
            </w:pPr>
            <w:r w:rsidRPr="007D2A0C">
              <w:rPr>
                <w:b/>
              </w:rPr>
              <w:t>Zentralabitur 2025</w:t>
            </w:r>
          </w:p>
        </w:tc>
        <w:tc>
          <w:tcPr>
            <w:tcW w:w="1718" w:type="dxa"/>
            <w:tcMar>
              <w:top w:w="85" w:type="dxa"/>
            </w:tcMar>
            <w:vAlign w:val="center"/>
          </w:tcPr>
          <w:p w:rsidR="00C16AEF" w:rsidRPr="007D2A0C" w:rsidRDefault="00945912" w:rsidP="00A2027A">
            <w:pPr>
              <w:spacing w:before="80" w:after="40"/>
              <w:jc w:val="center"/>
              <w:rPr>
                <w:b/>
              </w:rPr>
            </w:pPr>
            <w:r>
              <w:rPr>
                <w:b/>
              </w:rPr>
              <w:t>Biologie</w:t>
            </w:r>
          </w:p>
        </w:tc>
        <w:tc>
          <w:tcPr>
            <w:tcW w:w="2784" w:type="dxa"/>
            <w:tcMar>
              <w:top w:w="85" w:type="dxa"/>
            </w:tcMar>
            <w:vAlign w:val="center"/>
          </w:tcPr>
          <w:p w:rsidR="00C16AEF" w:rsidRPr="007D2A0C" w:rsidRDefault="00A47E3C" w:rsidP="00A2027A">
            <w:pPr>
              <w:spacing w:before="80" w:after="40"/>
              <w:jc w:val="center"/>
              <w:rPr>
                <w:b/>
              </w:rPr>
            </w:pPr>
            <w:r>
              <w:rPr>
                <w:b/>
              </w:rPr>
              <w:t>Material</w:t>
            </w:r>
            <w:r>
              <w:rPr>
                <w:b/>
              </w:rPr>
              <w:br/>
            </w:r>
            <w:r w:rsidR="00C16AEF" w:rsidRPr="007D2A0C">
              <w:rPr>
                <w:b/>
              </w:rPr>
              <w:t>für Prüflinge</w:t>
            </w:r>
          </w:p>
        </w:tc>
      </w:tr>
      <w:tr w:rsidR="00C16AEF" w:rsidRPr="007D2A0C" w:rsidTr="002863AA">
        <w:tc>
          <w:tcPr>
            <w:tcW w:w="4663" w:type="dxa"/>
            <w:tcMar>
              <w:top w:w="85" w:type="dxa"/>
            </w:tcMar>
            <w:vAlign w:val="center"/>
          </w:tcPr>
          <w:p w:rsidR="00C16AEF" w:rsidRPr="007D2A0C" w:rsidRDefault="002863AA" w:rsidP="00A2027A">
            <w:pPr>
              <w:spacing w:before="80" w:after="40"/>
              <w:jc w:val="center"/>
              <w:rPr>
                <w:b/>
              </w:rPr>
            </w:pPr>
            <w:r w:rsidRPr="002863AA">
              <w:rPr>
                <w:b/>
              </w:rPr>
              <w:t>Informationsverarbeitung in Lebewesen</w:t>
            </w:r>
          </w:p>
        </w:tc>
        <w:tc>
          <w:tcPr>
            <w:tcW w:w="1718" w:type="dxa"/>
            <w:tcMar>
              <w:top w:w="85" w:type="dxa"/>
            </w:tcMar>
            <w:vAlign w:val="center"/>
          </w:tcPr>
          <w:p w:rsidR="00C16AEF" w:rsidRPr="007D2A0C" w:rsidRDefault="00C16AEF" w:rsidP="00A2027A">
            <w:pPr>
              <w:spacing w:before="80" w:after="40"/>
              <w:jc w:val="center"/>
              <w:rPr>
                <w:b/>
              </w:rPr>
            </w:pPr>
            <w:r>
              <w:rPr>
                <w:b/>
              </w:rPr>
              <w:t>e</w:t>
            </w:r>
            <w:r w:rsidRPr="007D2A0C">
              <w:rPr>
                <w:b/>
              </w:rPr>
              <w:t>A</w:t>
            </w:r>
          </w:p>
        </w:tc>
        <w:tc>
          <w:tcPr>
            <w:tcW w:w="2784" w:type="dxa"/>
            <w:tcMar>
              <w:top w:w="85" w:type="dxa"/>
            </w:tcMar>
            <w:vAlign w:val="center"/>
          </w:tcPr>
          <w:p w:rsidR="00C16AEF" w:rsidRPr="007D2A0C" w:rsidRDefault="00C16AEF" w:rsidP="00A2027A">
            <w:pPr>
              <w:spacing w:before="80" w:after="40"/>
              <w:jc w:val="center"/>
              <w:rPr>
                <w:b/>
              </w:rPr>
            </w:pPr>
            <w:r w:rsidRPr="007D2A0C">
              <w:rPr>
                <w:b/>
              </w:rPr>
              <w:t>Prüfungszeit*:</w:t>
            </w:r>
            <w:r w:rsidR="00945912">
              <w:rPr>
                <w:b/>
              </w:rPr>
              <w:br/>
            </w:r>
            <w:r>
              <w:rPr>
                <w:b/>
              </w:rPr>
              <w:t>300</w:t>
            </w:r>
            <w:r w:rsidRPr="007D2A0C">
              <w:rPr>
                <w:b/>
              </w:rPr>
              <w:t xml:space="preserve"> min</w:t>
            </w:r>
          </w:p>
        </w:tc>
      </w:tr>
    </w:tbl>
    <w:p w:rsidR="00C16AEF" w:rsidRDefault="00C16AEF" w:rsidP="00C16AEF"/>
    <w:p w:rsidR="00C16AEF" w:rsidRDefault="00C16AEF" w:rsidP="00C16AEF">
      <w:r>
        <w:t xml:space="preserve">* </w:t>
      </w:r>
      <w:r w:rsidRPr="00956E20">
        <w:t>einschließlich Auswahlzeit</w:t>
      </w:r>
    </w:p>
    <w:p w:rsidR="00C16AEF" w:rsidRDefault="00C16AEF" w:rsidP="00C16AEF"/>
    <w:p w:rsidR="00BE37F3" w:rsidRDefault="00BE37F3" w:rsidP="00BE37F3">
      <w:r>
        <w:t>Name: _______________</w:t>
      </w:r>
    </w:p>
    <w:p w:rsidR="00C16AEF" w:rsidRDefault="00C16AEF" w:rsidP="00C16AEF">
      <w:bookmarkStart w:id="0" w:name="_GoBack"/>
      <w:bookmarkEnd w:id="0"/>
    </w:p>
    <w:p w:rsidR="00E66527" w:rsidRDefault="00E66527">
      <w:pPr>
        <w:spacing w:after="0" w:line="240" w:lineRule="auto"/>
      </w:pPr>
      <w:r>
        <w:br w:type="page"/>
      </w:r>
    </w:p>
    <w:p w:rsidR="00E66527" w:rsidRDefault="00E66527" w:rsidP="00DD1373">
      <w:pPr>
        <w:pStyle w:val="berschrift2"/>
      </w:pPr>
      <w:r>
        <w:lastRenderedPageBreak/>
        <w:t xml:space="preserve">Aufgabe </w:t>
      </w:r>
      <w:r w:rsidR="00C64755">
        <w:t>2:</w:t>
      </w:r>
      <w:r w:rsidR="00C64755">
        <w:br/>
      </w:r>
      <w:r w:rsidR="002863AA" w:rsidRPr="002863AA">
        <w:t>Medikamentöse Muskelentspannung</w:t>
      </w:r>
    </w:p>
    <w:p w:rsidR="00E66527" w:rsidRDefault="002863AA" w:rsidP="00E66527">
      <w:r w:rsidRPr="002863AA">
        <w:t>Muskelentspannende Medikamente verbessern in vielen Fällen die Bedingungen bei Operationen. Die an der neuromuskulären Synapse wirkenden Stoffe werden darüber hinaus auch als Pfeilgifte bei der Jagd verwendet.</w:t>
      </w:r>
    </w:p>
    <w:p w:rsidR="00E66527" w:rsidRDefault="00E66527" w:rsidP="00E66527"/>
    <w:p w:rsidR="00E66527" w:rsidRPr="002863AA" w:rsidRDefault="002863AA" w:rsidP="005543C2">
      <w:pPr>
        <w:pStyle w:val="Liste"/>
        <w:rPr>
          <w:b/>
        </w:rPr>
      </w:pPr>
      <w:r>
        <w:t>2</w:t>
      </w:r>
      <w:r w:rsidR="00E66527">
        <w:t>.1</w:t>
      </w:r>
      <w:r w:rsidR="00E66527">
        <w:tab/>
      </w:r>
      <w:r>
        <w:t>Stellen Sie die Vorgänge der Erregungsübe</w:t>
      </w:r>
      <w:r w:rsidR="005543C2">
        <w:t>rtragung</w:t>
      </w:r>
      <w:r w:rsidR="005543C2">
        <w:br/>
      </w:r>
      <w:r>
        <w:t>an einer chemischen Synapse schematisch dar.</w:t>
      </w:r>
      <w:r w:rsidR="005543C2">
        <w:br/>
      </w:r>
      <w:r w:rsidRPr="002863AA">
        <w:rPr>
          <w:b/>
        </w:rPr>
        <w:t>[09 BE]</w:t>
      </w:r>
    </w:p>
    <w:p w:rsidR="002863AA" w:rsidRDefault="002863AA" w:rsidP="002863AA"/>
    <w:p w:rsidR="002863AA" w:rsidRPr="002863AA" w:rsidRDefault="002863AA" w:rsidP="005543C2">
      <w:pPr>
        <w:pStyle w:val="Liste"/>
        <w:rPr>
          <w:b/>
        </w:rPr>
      </w:pPr>
      <w:r>
        <w:t>2.2</w:t>
      </w:r>
      <w:r>
        <w:tab/>
        <w:t xml:space="preserve">Werten Sie die Ergebnisse aus </w:t>
      </w:r>
      <w:r w:rsidRPr="002863AA">
        <w:rPr>
          <w:b/>
        </w:rPr>
        <w:t>M1</w:t>
      </w:r>
      <w:r>
        <w:t xml:space="preserve"> hinsichtlich der Wirkung von Tubocurarin an der neuromuskulären Synapse aus.</w:t>
      </w:r>
      <w:r w:rsidR="005543C2">
        <w:br/>
      </w:r>
      <w:r w:rsidRPr="002863AA">
        <w:rPr>
          <w:b/>
        </w:rPr>
        <w:t>[08 BE]</w:t>
      </w:r>
    </w:p>
    <w:p w:rsidR="006637AB" w:rsidRDefault="006637AB" w:rsidP="002863AA">
      <w:pPr>
        <w:pStyle w:val="Listenfortsetzung"/>
      </w:pPr>
    </w:p>
    <w:p w:rsidR="002863AA" w:rsidRPr="002863AA" w:rsidRDefault="002863AA" w:rsidP="002863AA">
      <w:pPr>
        <w:pStyle w:val="Listenfortsetzung"/>
        <w:rPr>
          <w:b/>
        </w:rPr>
      </w:pPr>
      <w:r>
        <w:t>Diskutieren Sie die Eignung von Physostigmin zur Aufhebung einer Überdosierung von Tubocurarin</w:t>
      </w:r>
      <w:r w:rsidR="006637AB">
        <w:br/>
      </w:r>
      <w:r>
        <w:t>(</w:t>
      </w:r>
      <w:r w:rsidRPr="002863AA">
        <w:rPr>
          <w:b/>
        </w:rPr>
        <w:t>M1</w:t>
      </w:r>
      <w:r>
        <w:t xml:space="preserve">, </w:t>
      </w:r>
      <w:r w:rsidRPr="002863AA">
        <w:rPr>
          <w:b/>
        </w:rPr>
        <w:t>M2</w:t>
      </w:r>
      <w:r>
        <w:t>).</w:t>
      </w:r>
      <w:r w:rsidR="005543C2">
        <w:br/>
      </w:r>
      <w:r w:rsidRPr="002863AA">
        <w:rPr>
          <w:b/>
        </w:rPr>
        <w:t>[06 BE]</w:t>
      </w:r>
    </w:p>
    <w:p w:rsidR="002863AA" w:rsidRDefault="002863AA" w:rsidP="006637AB">
      <w:pPr>
        <w:pStyle w:val="Listenfortsetzung"/>
      </w:pPr>
    </w:p>
    <w:p w:rsidR="002863AA" w:rsidRPr="006637AB" w:rsidRDefault="002863AA" w:rsidP="006637AB">
      <w:pPr>
        <w:pStyle w:val="Listenfortsetzung"/>
        <w:rPr>
          <w:b/>
        </w:rPr>
      </w:pPr>
      <w:r>
        <w:t xml:space="preserve">Analysieren Sie die beiden in </w:t>
      </w:r>
      <w:r w:rsidRPr="006637AB">
        <w:rPr>
          <w:b/>
        </w:rPr>
        <w:t>M4</w:t>
      </w:r>
      <w:r>
        <w:t xml:space="preserve"> genannten Jagdmethoden im Hinblick auf Waidgerechtigkeit</w:t>
      </w:r>
      <w:r w:rsidR="006637AB">
        <w:br/>
        <w:t>(</w:t>
      </w:r>
      <w:r w:rsidR="006637AB" w:rsidRPr="006637AB">
        <w:rPr>
          <w:b/>
        </w:rPr>
        <w:t>M1</w:t>
      </w:r>
      <w:r w:rsidR="006637AB">
        <w:t xml:space="preserve">, </w:t>
      </w:r>
      <w:r w:rsidR="006637AB" w:rsidRPr="006637AB">
        <w:rPr>
          <w:b/>
        </w:rPr>
        <w:t>M</w:t>
      </w:r>
      <w:r w:rsidRPr="006637AB">
        <w:rPr>
          <w:b/>
        </w:rPr>
        <w:t>2</w:t>
      </w:r>
      <w:r>
        <w:t>).</w:t>
      </w:r>
      <w:r w:rsidR="005543C2">
        <w:br/>
      </w:r>
      <w:r w:rsidRPr="006637AB">
        <w:rPr>
          <w:b/>
        </w:rPr>
        <w:t>[07 BE]</w:t>
      </w:r>
    </w:p>
    <w:p w:rsidR="00F85ADF" w:rsidRDefault="00F85ADF" w:rsidP="002863AA">
      <w:r>
        <w:br w:type="page"/>
      </w:r>
    </w:p>
    <w:p w:rsidR="00D55A85" w:rsidRPr="00D55A85" w:rsidRDefault="00D55A85" w:rsidP="00ED3A47">
      <w:pPr>
        <w:pStyle w:val="Liste"/>
        <w:rPr>
          <w:b/>
        </w:rPr>
      </w:pPr>
      <w:r>
        <w:lastRenderedPageBreak/>
        <w:t>2.3</w:t>
      </w:r>
      <w:r>
        <w:tab/>
        <w:t>Geben Sie die au</w:t>
      </w:r>
      <w:r w:rsidR="00ED3A47">
        <w:t>s Transkription und Translation</w:t>
      </w:r>
      <w:r w:rsidR="00ED3A47">
        <w:br/>
      </w:r>
      <w:r>
        <w:t>der beiden DNA-Ausschnitte hervorgehenden Molekülsequenzen an (</w:t>
      </w:r>
      <w:r w:rsidRPr="00D55A85">
        <w:rPr>
          <w:b/>
        </w:rPr>
        <w:t>M3</w:t>
      </w:r>
      <w:r>
        <w:t>).</w:t>
      </w:r>
      <w:r w:rsidR="00ED3A47">
        <w:br/>
      </w:r>
      <w:r w:rsidRPr="00D55A85">
        <w:rPr>
          <w:b/>
        </w:rPr>
        <w:t>[04 BE]</w:t>
      </w:r>
    </w:p>
    <w:p w:rsidR="00D55A85" w:rsidRDefault="00D55A85" w:rsidP="00D55A85">
      <w:pPr>
        <w:pStyle w:val="Listenfortsetzung"/>
      </w:pPr>
    </w:p>
    <w:p w:rsidR="00E66527" w:rsidRPr="00D55A85" w:rsidRDefault="00D55A85" w:rsidP="00D55A85">
      <w:pPr>
        <w:pStyle w:val="Listenfortsetzung"/>
        <w:rPr>
          <w:b/>
        </w:rPr>
      </w:pPr>
      <w:r>
        <w:t>Beurteilen Sie darauf basierend die Verwendbarkeit der</w:t>
      </w:r>
      <w:r w:rsidR="00ED3A47">
        <w:br/>
      </w:r>
      <w:r>
        <w:t xml:space="preserve">in </w:t>
      </w:r>
      <w:r w:rsidRPr="00D55A85">
        <w:rPr>
          <w:b/>
        </w:rPr>
        <w:t>M2</w:t>
      </w:r>
      <w:r>
        <w:t xml:space="preserve"> genannten muskelentspannenden Medikamente</w:t>
      </w:r>
      <w:r w:rsidR="00ED3A47">
        <w:br/>
      </w:r>
      <w:r>
        <w:t xml:space="preserve">für den in </w:t>
      </w:r>
      <w:r w:rsidRPr="00D55A85">
        <w:rPr>
          <w:b/>
        </w:rPr>
        <w:t>M3</w:t>
      </w:r>
      <w:r>
        <w:t xml:space="preserve"> vorgestellten Patienten.</w:t>
      </w:r>
      <w:r w:rsidR="00ED3A47">
        <w:br/>
      </w:r>
      <w:r w:rsidRPr="00D55A85">
        <w:rPr>
          <w:b/>
        </w:rPr>
        <w:t>[06 BE]</w:t>
      </w:r>
    </w:p>
    <w:p w:rsidR="000E4AFB" w:rsidRDefault="000E4AFB">
      <w:pPr>
        <w:spacing w:after="0" w:line="240" w:lineRule="auto"/>
      </w:pPr>
      <w:r>
        <w:br w:type="page"/>
      </w:r>
    </w:p>
    <w:p w:rsidR="00E66527" w:rsidRDefault="00E66527" w:rsidP="004B0B47">
      <w:pPr>
        <w:pStyle w:val="berschrift2"/>
      </w:pPr>
      <w:r>
        <w:lastRenderedPageBreak/>
        <w:t>Material</w:t>
      </w:r>
    </w:p>
    <w:p w:rsidR="00E66527" w:rsidRDefault="00E66527" w:rsidP="004B0B47">
      <w:pPr>
        <w:pStyle w:val="berschrift3"/>
      </w:pPr>
      <w:r>
        <w:t>M1</w:t>
      </w:r>
      <w:r w:rsidR="004B0B47">
        <w:t xml:space="preserve"> </w:t>
      </w:r>
      <w:r w:rsidR="008E64E3" w:rsidRPr="008E64E3">
        <w:t>Die Wirkung von Tubocurarin auf Skelettmuskeln</w:t>
      </w:r>
    </w:p>
    <w:p w:rsidR="003B450E" w:rsidRDefault="00207FD0" w:rsidP="00E66527">
      <w:r w:rsidRPr="00207FD0">
        <w:t>Tubocurarin wird bei Operationen zur Muskelentspannung verwendet. Die Moleküle wirken an der neuromuskulären Synapse, wo sie eine ähnliche Affinität zu den Rezeptoren postsynaptischer Natriumionen-Kanäle wie Acetylcholin zeigen. In einem Experiment wurde d</w:t>
      </w:r>
      <w:r w:rsidR="00F01C35">
        <w:t>er Einfluss von Tubocurarin</w:t>
      </w:r>
      <w:r w:rsidRPr="00207FD0">
        <w:t>auf die Kontraktionsfähigkeit von Skelettmuskeln unters</w:t>
      </w:r>
      <w:r>
        <w:t>ucht</w:t>
      </w:r>
      <w:r w:rsidR="00F01C35">
        <w:t xml:space="preserve"> </w:t>
      </w:r>
      <w:r w:rsidRPr="00207FD0">
        <w:t>(Abb. 1):</w:t>
      </w:r>
    </w:p>
    <w:p w:rsidR="00207FD0" w:rsidRDefault="00207FD0" w:rsidP="00E66527"/>
    <w:p w:rsidR="00F01C35" w:rsidRPr="00F01C35" w:rsidRDefault="00207FD0" w:rsidP="00F01C35">
      <w:pPr>
        <w:pStyle w:val="berschrift4"/>
      </w:pPr>
      <w:r w:rsidRPr="00207FD0">
        <w:t>Abb. 1:</w:t>
      </w:r>
    </w:p>
    <w:p w:rsidR="00207FD0" w:rsidRDefault="00207FD0" w:rsidP="00207FD0">
      <w:r>
        <w:t>Muskelkontraktionen vor (A) und nach Gabe von Tubocurarin (B); Werte über 100 % zeigen eine übermäßige und nur im Experiment auslösbare Kontraktion an.</w:t>
      </w:r>
    </w:p>
    <w:p w:rsidR="00207FD0" w:rsidRDefault="00207FD0" w:rsidP="00207FD0">
      <w:r>
        <w:t>(Aktories et al., 2017)</w:t>
      </w:r>
    </w:p>
    <w:p w:rsidR="00207FD0" w:rsidRDefault="00207FD0" w:rsidP="00E66527"/>
    <w:p w:rsidR="00F01C35" w:rsidRPr="00EB7A38" w:rsidRDefault="00F01C35" w:rsidP="00E66527">
      <w:r w:rsidRPr="00F01C35">
        <w:rPr>
          <w:b/>
        </w:rPr>
        <w:t>Hinweis:</w:t>
      </w:r>
      <w:r w:rsidR="00EB7A38">
        <w:rPr>
          <w:b/>
        </w:rPr>
        <w:br/>
      </w:r>
      <w:r w:rsidR="00EB7A38" w:rsidRPr="00EB7A38">
        <w:t xml:space="preserve">Die </w:t>
      </w:r>
      <w:r w:rsidRPr="00EB7A38">
        <w:t>Abb. 1 folgt auf der nächsten Seite.</w:t>
      </w:r>
    </w:p>
    <w:p w:rsidR="00207FD0" w:rsidRDefault="00207FD0">
      <w:pPr>
        <w:spacing w:after="0" w:line="240" w:lineRule="auto"/>
        <w:sectPr w:rsidR="00207FD0">
          <w:footerReference w:type="default" r:id="rId7"/>
          <w:pgSz w:w="11906" w:h="16838"/>
          <w:pgMar w:top="1417" w:right="1417" w:bottom="1134" w:left="1417" w:header="708" w:footer="708" w:gutter="0"/>
          <w:cols w:space="708"/>
          <w:docGrid w:linePitch="360"/>
        </w:sectPr>
      </w:pPr>
      <w:r>
        <w:br w:type="page"/>
      </w:r>
    </w:p>
    <w:p w:rsidR="00207FD0" w:rsidRDefault="00207FD0" w:rsidP="00207FD0">
      <w:r>
        <w:rPr>
          <w:noProof/>
          <w:szCs w:val="26"/>
          <w:lang w:eastAsia="de-DE"/>
        </w:rPr>
        <w:lastRenderedPageBreak/>
        <w:drawing>
          <wp:anchor distT="0" distB="0" distL="114300" distR="114300" simplePos="0" relativeHeight="251658240" behindDoc="0" locked="0" layoutInCell="1" allowOverlap="1">
            <wp:simplePos x="0" y="0"/>
            <wp:positionH relativeFrom="margin">
              <wp:align>left</wp:align>
            </wp:positionH>
            <wp:positionV relativeFrom="paragraph">
              <wp:posOffset>-3810</wp:posOffset>
            </wp:positionV>
            <wp:extent cx="8963025" cy="5168265"/>
            <wp:effectExtent l="0" t="0" r="9525" b="0"/>
            <wp:wrapNone/>
            <wp:docPr id="1" name="Grafik 11"/>
            <wp:cNvGraphicFramePr/>
            <a:graphic xmlns:a="http://schemas.openxmlformats.org/drawingml/2006/main">
              <a:graphicData uri="http://schemas.openxmlformats.org/drawingml/2006/picture">
                <pic:pic xmlns:pic="http://schemas.openxmlformats.org/drawingml/2006/picture">
                  <pic:nvPicPr>
                    <pic:cNvPr id="2" name="Grafik 11"/>
                    <pic:cNvPicPr/>
                  </pic:nvPicPr>
                  <pic:blipFill>
                    <a:blip r:embed="rId8">
                      <a:extLst>
                        <a:ext uri="{BEBA8EAE-BF5A-486C-A8C5-ECC9F3942E4B}">
                          <a14:imgProps xmlns:a14="http://schemas.microsoft.com/office/drawing/2010/main">
                            <a14:imgLayer r:embed="rId9">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tretch/>
                  </pic:blipFill>
                  <pic:spPr>
                    <a:xfrm>
                      <a:off x="0" y="0"/>
                      <a:ext cx="8963025" cy="5168265"/>
                    </a:xfrm>
                    <a:prstGeom prst="rect">
                      <a:avLst/>
                    </a:prstGeom>
                    <a:ln w="0">
                      <a:noFill/>
                    </a:ln>
                  </pic:spPr>
                </pic:pic>
              </a:graphicData>
            </a:graphic>
            <wp14:sizeRelH relativeFrom="margin">
              <wp14:pctWidth>0</wp14:pctWidth>
            </wp14:sizeRelH>
            <wp14:sizeRelV relativeFrom="margin">
              <wp14:pctHeight>0</wp14:pctHeight>
            </wp14:sizeRelV>
          </wp:anchor>
        </w:drawing>
      </w:r>
    </w:p>
    <w:p w:rsidR="00207FD0" w:rsidRDefault="00207FD0" w:rsidP="00207FD0"/>
    <w:p w:rsidR="00207FD0" w:rsidRDefault="00207FD0" w:rsidP="00207FD0"/>
    <w:p w:rsidR="00207FD0" w:rsidRDefault="00207FD0" w:rsidP="00207FD0"/>
    <w:p w:rsidR="00207FD0" w:rsidRDefault="00207FD0" w:rsidP="00207FD0"/>
    <w:p w:rsidR="00207FD0" w:rsidRDefault="00207FD0" w:rsidP="00207FD0"/>
    <w:p w:rsidR="00207FD0" w:rsidRDefault="00207FD0" w:rsidP="00207FD0"/>
    <w:p w:rsidR="00207FD0" w:rsidRDefault="00207FD0" w:rsidP="00207FD0"/>
    <w:p w:rsidR="00207FD0" w:rsidRDefault="00207FD0" w:rsidP="00207FD0"/>
    <w:p w:rsidR="00207FD0" w:rsidRDefault="00207FD0" w:rsidP="00207FD0"/>
    <w:p w:rsidR="00207FD0" w:rsidRDefault="00207FD0" w:rsidP="00207FD0"/>
    <w:p w:rsidR="00207FD0" w:rsidRDefault="00207FD0" w:rsidP="00207FD0"/>
    <w:p w:rsidR="00207FD0" w:rsidRDefault="004B0B47">
      <w:pPr>
        <w:spacing w:after="0" w:line="240" w:lineRule="auto"/>
        <w:sectPr w:rsidR="00207FD0" w:rsidSect="00207FD0">
          <w:pgSz w:w="16838" w:h="11906" w:orient="landscape"/>
          <w:pgMar w:top="1417" w:right="1417" w:bottom="1417" w:left="1134" w:header="708" w:footer="708" w:gutter="0"/>
          <w:cols w:space="708"/>
          <w:docGrid w:linePitch="381"/>
        </w:sectPr>
      </w:pPr>
      <w:r>
        <w:br w:type="page"/>
      </w:r>
    </w:p>
    <w:p w:rsidR="004B0B47" w:rsidRDefault="004B0B47" w:rsidP="004B0B47">
      <w:pPr>
        <w:pStyle w:val="berschrift3"/>
      </w:pPr>
      <w:r>
        <w:lastRenderedPageBreak/>
        <w:t xml:space="preserve">M2 </w:t>
      </w:r>
      <w:r w:rsidR="008E64E3" w:rsidRPr="008E64E3">
        <w:t>Medi</w:t>
      </w:r>
      <w:r w:rsidR="000F2713">
        <w:t>kamentöse Aufhebung der Wirkung</w:t>
      </w:r>
      <w:r w:rsidR="000F2713">
        <w:br/>
      </w:r>
      <w:r w:rsidR="008E64E3" w:rsidRPr="008E64E3">
        <w:t>von Tubocurarin</w:t>
      </w:r>
    </w:p>
    <w:p w:rsidR="004B0B47" w:rsidRPr="008E64E3" w:rsidRDefault="00207FD0" w:rsidP="008E64E3">
      <w:r w:rsidRPr="00207FD0">
        <w:t>Die für Operationen zugelassenen Medikamente zur Muskelentspannung werden im Körper zumeist enzymatisch abgebaut, wodurch ihre Wirksamkeit zeitlich begrenzt ist</w:t>
      </w:r>
      <w:r>
        <w:br/>
      </w:r>
      <w:r w:rsidRPr="00207FD0">
        <w:t>(Tab. 1).</w:t>
      </w:r>
    </w:p>
    <w:p w:rsidR="008E64E3" w:rsidRDefault="008E64E3" w:rsidP="008E64E3"/>
    <w:p w:rsidR="006D1FA1" w:rsidRDefault="006D1FA1" w:rsidP="006D1FA1">
      <w:pPr>
        <w:pStyle w:val="berschrift4"/>
      </w:pPr>
      <w:r>
        <w:t>Tab. 1:</w:t>
      </w:r>
    </w:p>
    <w:p w:rsidR="006D1FA1" w:rsidRDefault="006D1FA1" w:rsidP="006D1FA1">
      <w:r>
        <w:t>Abbau muskelentspannender Medikamente</w:t>
      </w:r>
    </w:p>
    <w:tbl>
      <w:tblPr>
        <w:tblStyle w:val="Tabellenraster"/>
        <w:tblpPr w:leftFromText="141" w:rightFromText="141" w:vertAnchor="text" w:tblpY="310"/>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43"/>
        <w:gridCol w:w="7022"/>
      </w:tblGrid>
      <w:tr w:rsidR="001C0520" w:rsidTr="001C0520">
        <w:tc>
          <w:tcPr>
            <w:tcW w:w="2143" w:type="dxa"/>
            <w:tcMar>
              <w:top w:w="57" w:type="dxa"/>
            </w:tcMar>
          </w:tcPr>
          <w:p w:rsidR="001C0520" w:rsidRPr="008A47F7" w:rsidRDefault="001C0520" w:rsidP="001C0520">
            <w:pPr>
              <w:rPr>
                <w:b/>
              </w:rPr>
            </w:pPr>
            <w:r w:rsidRPr="008A47F7">
              <w:rPr>
                <w:b/>
              </w:rPr>
              <w:t>Medikament</w:t>
            </w:r>
          </w:p>
        </w:tc>
        <w:tc>
          <w:tcPr>
            <w:tcW w:w="7022" w:type="dxa"/>
            <w:tcMar>
              <w:top w:w="57" w:type="dxa"/>
            </w:tcMar>
          </w:tcPr>
          <w:p w:rsidR="001C0520" w:rsidRPr="008A47F7" w:rsidRDefault="001C0520" w:rsidP="001C0520">
            <w:pPr>
              <w:rPr>
                <w:b/>
              </w:rPr>
            </w:pPr>
            <w:r w:rsidRPr="008A47F7">
              <w:rPr>
                <w:b/>
              </w:rPr>
              <w:t>Enzymatischer Abbau im Organismus</w:t>
            </w:r>
          </w:p>
        </w:tc>
      </w:tr>
      <w:tr w:rsidR="001C0520" w:rsidTr="001C0520">
        <w:tc>
          <w:tcPr>
            <w:tcW w:w="2143" w:type="dxa"/>
            <w:shd w:val="clear" w:color="auto" w:fill="CCFFFF"/>
            <w:tcMar>
              <w:top w:w="57" w:type="dxa"/>
            </w:tcMar>
          </w:tcPr>
          <w:p w:rsidR="001C0520" w:rsidRDefault="001C0520" w:rsidP="001C0520">
            <w:r w:rsidRPr="008A47F7">
              <w:t>Tubocurarin</w:t>
            </w:r>
          </w:p>
        </w:tc>
        <w:tc>
          <w:tcPr>
            <w:tcW w:w="7022" w:type="dxa"/>
            <w:shd w:val="clear" w:color="auto" w:fill="CCFFFF"/>
            <w:tcMar>
              <w:top w:w="57" w:type="dxa"/>
            </w:tcMar>
          </w:tcPr>
          <w:p w:rsidR="001C0520" w:rsidRDefault="001C0520" w:rsidP="001C0520">
            <w:r w:rsidRPr="008A47F7">
              <w:t>Spaltung durch Carboxylasen in der Leber</w:t>
            </w:r>
            <w:r>
              <w:br/>
            </w:r>
            <w:r w:rsidRPr="008A47F7">
              <w:t>(ca. 30-40 min)</w:t>
            </w:r>
          </w:p>
        </w:tc>
      </w:tr>
      <w:tr w:rsidR="001C0520" w:rsidTr="001C0520">
        <w:tc>
          <w:tcPr>
            <w:tcW w:w="2143" w:type="dxa"/>
            <w:tcMar>
              <w:top w:w="57" w:type="dxa"/>
            </w:tcMar>
          </w:tcPr>
          <w:p w:rsidR="001C0520" w:rsidRDefault="001C0520" w:rsidP="001C0520">
            <w:r w:rsidRPr="008A47F7">
              <w:t>Mivacurium</w:t>
            </w:r>
          </w:p>
        </w:tc>
        <w:tc>
          <w:tcPr>
            <w:tcW w:w="7022" w:type="dxa"/>
            <w:tcMar>
              <w:top w:w="57" w:type="dxa"/>
            </w:tcMar>
          </w:tcPr>
          <w:p w:rsidR="001C0520" w:rsidRDefault="001C0520" w:rsidP="001C0520">
            <w:r w:rsidRPr="008A47F7">
              <w:t>Spaltung durch Butyrylcholinesterase in der Leber (ca. 10-15 min)</w:t>
            </w:r>
          </w:p>
        </w:tc>
      </w:tr>
      <w:tr w:rsidR="001C0520" w:rsidTr="001C0520">
        <w:tc>
          <w:tcPr>
            <w:tcW w:w="2143" w:type="dxa"/>
            <w:shd w:val="clear" w:color="auto" w:fill="CCFFFF"/>
            <w:tcMar>
              <w:top w:w="57" w:type="dxa"/>
            </w:tcMar>
          </w:tcPr>
          <w:p w:rsidR="001C0520" w:rsidRDefault="001C0520" w:rsidP="001C0520">
            <w:r w:rsidRPr="008A47F7">
              <w:t>Atracurium</w:t>
            </w:r>
          </w:p>
        </w:tc>
        <w:tc>
          <w:tcPr>
            <w:tcW w:w="7022" w:type="dxa"/>
            <w:shd w:val="clear" w:color="auto" w:fill="CCFFFF"/>
            <w:tcMar>
              <w:top w:w="57" w:type="dxa"/>
            </w:tcMar>
          </w:tcPr>
          <w:p w:rsidR="001C0520" w:rsidRDefault="001C0520" w:rsidP="001C0520">
            <w:r w:rsidRPr="008A47F7">
              <w:t>Spaltung durch verschiedene Esterasen im Blut (ca. 20-30 min)</w:t>
            </w:r>
          </w:p>
        </w:tc>
      </w:tr>
    </w:tbl>
    <w:p w:rsidR="00CC04C6" w:rsidRDefault="00CC04C6" w:rsidP="006D1FA1"/>
    <w:p w:rsidR="00CC04C6" w:rsidRDefault="00CC04C6" w:rsidP="00CC04C6">
      <w:r>
        <w:t>In seltenen Fällen kann es vorkommen, dass nach einer Vollnarkose die Wirkung an</w:t>
      </w:r>
      <w:r w:rsidR="00202A33">
        <w:t>hält. Dann können die Patienten</w:t>
      </w:r>
      <w:r w:rsidR="00202A33">
        <w:br/>
      </w:r>
      <w:r>
        <w:t xml:space="preserve">bei völliger Wachheit ihren Körper nicht bewegen und somit auch </w:t>
      </w:r>
      <w:r w:rsidR="00376391">
        <w:t>keine Atembewegungen ausführen.</w:t>
      </w:r>
    </w:p>
    <w:p w:rsidR="00CC04C6" w:rsidRDefault="00CC04C6">
      <w:pPr>
        <w:spacing w:after="0" w:line="240" w:lineRule="auto"/>
        <w:sectPr w:rsidR="00CC04C6">
          <w:pgSz w:w="11906" w:h="16838"/>
          <w:pgMar w:top="1417" w:right="1417" w:bottom="1134" w:left="1417" w:header="708" w:footer="708" w:gutter="0"/>
          <w:cols w:space="708"/>
          <w:docGrid w:linePitch="360"/>
        </w:sectPr>
      </w:pPr>
      <w:r>
        <w:br w:type="page"/>
      </w:r>
    </w:p>
    <w:p w:rsidR="00CC04C6" w:rsidRDefault="00376391" w:rsidP="00CC04C6">
      <w:r>
        <w:lastRenderedPageBreak/>
        <w:t xml:space="preserve">Die Wirkung von </w:t>
      </w:r>
      <w:r w:rsidR="00CC04C6">
        <w:t xml:space="preserve">Tubocurarin und anderen muskelentspannenden Medikamenten lässt sich in solchen Fällen schnell durch Gegengifte aufheben. </w:t>
      </w:r>
    </w:p>
    <w:p w:rsidR="00207FD0" w:rsidRDefault="00CC04C6" w:rsidP="00CC04C6">
      <w:r>
        <w:t>Es wurde vermutet, dass unter anderem Physostigmin als ein solches Gegengift verwendet werden könnte. Dessen reversible Wirkung ist in Abb. 2 grafisch dargestellt:</w:t>
      </w:r>
    </w:p>
    <w:p w:rsidR="00207FD0" w:rsidRDefault="00CC04C6" w:rsidP="008E64E3">
      <w:r>
        <w:rPr>
          <w:noProof/>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102235</wp:posOffset>
            </wp:positionV>
            <wp:extent cx="8759190" cy="2654300"/>
            <wp:effectExtent l="0" t="0" r="3810" b="0"/>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759190" cy="2654300"/>
                    </a:xfrm>
                    <a:prstGeom prst="rect">
                      <a:avLst/>
                    </a:prstGeom>
                  </pic:spPr>
                </pic:pic>
              </a:graphicData>
            </a:graphic>
            <wp14:sizeRelH relativeFrom="margin">
              <wp14:pctWidth>0</wp14:pctWidth>
            </wp14:sizeRelH>
            <wp14:sizeRelV relativeFrom="margin">
              <wp14:pctHeight>0</wp14:pctHeight>
            </wp14:sizeRelV>
          </wp:anchor>
        </w:drawing>
      </w:r>
    </w:p>
    <w:p w:rsidR="00CC04C6" w:rsidRDefault="00CC04C6" w:rsidP="008E64E3"/>
    <w:p w:rsidR="00CC04C6" w:rsidRDefault="00CC04C6" w:rsidP="008E64E3"/>
    <w:p w:rsidR="00CC04C6" w:rsidRDefault="00CC04C6" w:rsidP="008E64E3"/>
    <w:p w:rsidR="00CC04C6" w:rsidRDefault="00CC04C6" w:rsidP="008E64E3"/>
    <w:p w:rsidR="00CC04C6" w:rsidRDefault="00CC04C6" w:rsidP="008E64E3"/>
    <w:p w:rsidR="00CC04C6" w:rsidRDefault="00CC04C6" w:rsidP="008E64E3"/>
    <w:p w:rsidR="00CC04C6" w:rsidRDefault="00CC04C6" w:rsidP="008E64E3"/>
    <w:p w:rsidR="00CC04C6" w:rsidRDefault="00CC04C6" w:rsidP="00CC04C6">
      <w:pPr>
        <w:pStyle w:val="berschrift4"/>
      </w:pPr>
      <w:r w:rsidRPr="00CC04C6">
        <w:t>Abb. 2:</w:t>
      </w:r>
    </w:p>
    <w:p w:rsidR="00CC04C6" w:rsidRDefault="00CC04C6" w:rsidP="008E64E3">
      <w:r w:rsidRPr="00CC04C6">
        <w:t>Durch Physostigmin verursachte Veränderungen an der neuromuskulären Synapse</w:t>
      </w:r>
    </w:p>
    <w:p w:rsidR="00207FD0" w:rsidRPr="008E64E3" w:rsidRDefault="00207FD0" w:rsidP="008E64E3"/>
    <w:p w:rsidR="00CC04C6" w:rsidRDefault="00CC04C6" w:rsidP="008E64E3">
      <w:pPr>
        <w:pStyle w:val="berschrift3"/>
        <w:sectPr w:rsidR="00CC04C6" w:rsidSect="00CC04C6">
          <w:pgSz w:w="16838" w:h="11906" w:orient="landscape" w:code="9"/>
          <w:pgMar w:top="1417" w:right="1417" w:bottom="1417" w:left="1134" w:header="708" w:footer="708" w:gutter="0"/>
          <w:cols w:space="708"/>
          <w:docGrid w:linePitch="381"/>
        </w:sectPr>
      </w:pPr>
    </w:p>
    <w:p w:rsidR="00841B0C" w:rsidRDefault="008E64E3" w:rsidP="008E64E3">
      <w:pPr>
        <w:pStyle w:val="berschrift3"/>
      </w:pPr>
      <w:r w:rsidRPr="008E64E3">
        <w:lastRenderedPageBreak/>
        <w:t>M3</w:t>
      </w:r>
      <w:r>
        <w:t xml:space="preserve"> </w:t>
      </w:r>
      <w:r w:rsidRPr="008E64E3">
        <w:t>Untersuchungsbefund im BChE-Gen</w:t>
      </w:r>
    </w:p>
    <w:p w:rsidR="00CC04C6" w:rsidRDefault="00CC04C6" w:rsidP="00CC04C6">
      <w:r>
        <w:t>Bei einem 14-jährigen Jungen wurde wegen des Verdachts eines Gen-Defekts eine DNA-Sequenzierung durchgeführt. Sie zeigte die nachfolgend dargestellte Veränderung im codogenen Strang (Matrizenstrang) des insgesamt 2.400 Basenpaare umfassenden BChE-Gens (Positionen 67 bis 81):</w:t>
      </w:r>
    </w:p>
    <w:p w:rsidR="00511408" w:rsidRDefault="00511408" w:rsidP="00511408">
      <w:r>
        <w:t>DNA (mutiert)</w:t>
      </w:r>
      <w:r>
        <w:br/>
      </w:r>
      <w:r w:rsidRPr="00511408">
        <w:rPr>
          <w:b/>
        </w:rPr>
        <w:t>3´ (…) TAA CCC ATC AGT GTG (…) 5´</w:t>
      </w:r>
      <w:r w:rsidRPr="00511408">
        <w:rPr>
          <w:b/>
        </w:rPr>
        <w:br/>
      </w:r>
    </w:p>
    <w:p w:rsidR="00511408" w:rsidRDefault="00511408" w:rsidP="00511408">
      <w:r>
        <w:t>DNA (nicht mutiert)</w:t>
      </w:r>
      <w:r>
        <w:br/>
      </w:r>
      <w:r w:rsidRPr="00511408">
        <w:rPr>
          <w:b/>
        </w:rPr>
        <w:t>3´ (…) TAA CCC TTC AGT GTG (…) 5´</w:t>
      </w:r>
      <w:r w:rsidRPr="00511408">
        <w:rPr>
          <w:b/>
        </w:rPr>
        <w:br/>
      </w:r>
    </w:p>
    <w:p w:rsidR="00511408" w:rsidRDefault="00511408" w:rsidP="00511408">
      <w:r>
        <w:t>Das Enzym Butyrylcholinesterase (BChE) spielt im alltäglichen Stoffwechsel keine Rolle, spaltet jedoch Medikamente</w:t>
      </w:r>
      <w:r>
        <w:br/>
        <w:t xml:space="preserve">(vgl. </w:t>
      </w:r>
      <w:r w:rsidRPr="00CC04C6">
        <w:rPr>
          <w:b/>
        </w:rPr>
        <w:t>M2</w:t>
      </w:r>
      <w:r>
        <w:t>).</w:t>
      </w:r>
      <w:r>
        <w:br/>
      </w:r>
    </w:p>
    <w:p w:rsidR="00511408" w:rsidRDefault="00511408" w:rsidP="00511408">
      <w:r>
        <w:t>(Yu et al., 2018)</w:t>
      </w:r>
    </w:p>
    <w:p w:rsidR="00B56186" w:rsidRDefault="00B56186" w:rsidP="00CC04C6">
      <w:pPr>
        <w:rPr>
          <w:sz w:val="16"/>
        </w:rPr>
      </w:pPr>
    </w:p>
    <w:p w:rsidR="00511408" w:rsidRDefault="00511408" w:rsidP="00CC04C6">
      <w:pPr>
        <w:rPr>
          <w:sz w:val="16"/>
        </w:rPr>
      </w:pPr>
    </w:p>
    <w:p w:rsidR="00511408" w:rsidRDefault="00511408" w:rsidP="00CC04C6">
      <w:pPr>
        <w:rPr>
          <w:sz w:val="16"/>
        </w:rPr>
      </w:pPr>
    </w:p>
    <w:p w:rsidR="00511408" w:rsidRDefault="00511408" w:rsidP="00CC04C6">
      <w:pPr>
        <w:rPr>
          <w:sz w:val="16"/>
        </w:rPr>
      </w:pPr>
    </w:p>
    <w:p w:rsidR="00511408" w:rsidRDefault="00511408" w:rsidP="00CC04C6">
      <w:pPr>
        <w:rPr>
          <w:sz w:val="16"/>
        </w:rPr>
      </w:pPr>
    </w:p>
    <w:p w:rsidR="00511408" w:rsidRDefault="00511408" w:rsidP="00CC04C6">
      <w:pPr>
        <w:rPr>
          <w:sz w:val="16"/>
        </w:rPr>
      </w:pPr>
    </w:p>
    <w:p w:rsidR="00511408" w:rsidRDefault="00511408" w:rsidP="00CC04C6">
      <w:pPr>
        <w:rPr>
          <w:sz w:val="16"/>
        </w:rPr>
      </w:pPr>
    </w:p>
    <w:p w:rsidR="00511408" w:rsidRDefault="00511408" w:rsidP="00CC04C6">
      <w:pPr>
        <w:rPr>
          <w:sz w:val="16"/>
        </w:rPr>
      </w:pPr>
    </w:p>
    <w:p w:rsidR="00511408" w:rsidRPr="00565C83" w:rsidRDefault="00511408" w:rsidP="00CC04C6">
      <w:pPr>
        <w:rPr>
          <w:sz w:val="16"/>
        </w:rPr>
      </w:pPr>
    </w:p>
    <w:p w:rsidR="00B56186" w:rsidRDefault="00B56186" w:rsidP="00B56186">
      <w:pPr>
        <w:pStyle w:val="berschrift4"/>
      </w:pPr>
      <w:r>
        <w:lastRenderedPageBreak/>
        <w:t>Abb. 3:</w:t>
      </w:r>
    </w:p>
    <w:p w:rsidR="00B56186" w:rsidRDefault="00B56186" w:rsidP="00B56186">
      <w:r>
        <w:rPr>
          <w:noProof/>
          <w:lang w:eastAsia="de-DE"/>
        </w:rPr>
        <w:drawing>
          <wp:anchor distT="0" distB="0" distL="114300" distR="114300" simplePos="0" relativeHeight="251660288" behindDoc="1" locked="0" layoutInCell="1" allowOverlap="1">
            <wp:simplePos x="0" y="0"/>
            <wp:positionH relativeFrom="margin">
              <wp:posOffset>0</wp:posOffset>
            </wp:positionH>
            <wp:positionV relativeFrom="paragraph">
              <wp:posOffset>172085</wp:posOffset>
            </wp:positionV>
            <wp:extent cx="5387975" cy="5368925"/>
            <wp:effectExtent l="0" t="0" r="3175" b="3175"/>
            <wp:wrapNone/>
            <wp:docPr id="5" name="Grafik 1"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Ein Bild, das Text, Uhr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87975" cy="5368925"/>
                    </a:xfrm>
                    <a:prstGeom prst="rect">
                      <a:avLst/>
                    </a:prstGeom>
                  </pic:spPr>
                </pic:pic>
              </a:graphicData>
            </a:graphic>
            <wp14:sizeRelH relativeFrom="margin">
              <wp14:pctWidth>0</wp14:pctWidth>
            </wp14:sizeRelH>
            <wp14:sizeRelV relativeFrom="margin">
              <wp14:pctHeight>0</wp14:pctHeight>
            </wp14:sizeRelV>
          </wp:anchor>
        </w:drawing>
      </w:r>
      <w:r w:rsidRPr="00072BA1">
        <w:t>Codesonne</w:t>
      </w:r>
    </w:p>
    <w:p w:rsidR="00CC04C6" w:rsidRDefault="00CC04C6"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072BA1" w:rsidRDefault="00072BA1" w:rsidP="00CC04C6"/>
    <w:p w:rsidR="008E64E3" w:rsidRDefault="008E64E3" w:rsidP="008E64E3"/>
    <w:p w:rsidR="008E64E3" w:rsidRDefault="008E64E3" w:rsidP="008E64E3"/>
    <w:p w:rsidR="008E64E3" w:rsidRDefault="008E64E3" w:rsidP="008E64E3"/>
    <w:p w:rsidR="008E64E3" w:rsidRDefault="008E64E3">
      <w:pPr>
        <w:spacing w:after="0" w:line="240" w:lineRule="auto"/>
      </w:pPr>
      <w:r>
        <w:br w:type="page"/>
      </w:r>
    </w:p>
    <w:p w:rsidR="008E64E3" w:rsidRDefault="008E64E3" w:rsidP="008E64E3">
      <w:pPr>
        <w:pStyle w:val="berschrift3"/>
      </w:pPr>
      <w:r w:rsidRPr="008E64E3">
        <w:lastRenderedPageBreak/>
        <w:t>M4</w:t>
      </w:r>
      <w:r>
        <w:t xml:space="preserve"> </w:t>
      </w:r>
      <w:r w:rsidRPr="008E64E3">
        <w:t>Standpunkte zum Jagdwesen in Deutschland</w:t>
      </w:r>
    </w:p>
    <w:p w:rsidR="00072BA1" w:rsidRDefault="00072BA1" w:rsidP="00072BA1">
      <w:r w:rsidRPr="00072BA1">
        <w:t>In einem Online-Blog über die Jagd wurde folgender Eintrag gefunden:</w:t>
      </w:r>
    </w:p>
    <w:p w:rsidR="00072BA1" w:rsidRDefault="00072BA1" w:rsidP="00072BA1">
      <w:r>
        <w:rPr>
          <w:noProof/>
          <w:lang w:eastAsia="de-DE"/>
        </w:rPr>
        <mc:AlternateContent>
          <mc:Choice Requires="wps">
            <w:drawing>
              <wp:anchor distT="45720" distB="45720" distL="114300" distR="114300" simplePos="0" relativeHeight="251662336" behindDoc="0" locked="0" layoutInCell="1" allowOverlap="1">
                <wp:simplePos x="0" y="0"/>
                <wp:positionH relativeFrom="margin">
                  <wp:posOffset>35560</wp:posOffset>
                </wp:positionH>
                <wp:positionV relativeFrom="paragraph">
                  <wp:posOffset>132080</wp:posOffset>
                </wp:positionV>
                <wp:extent cx="5677535" cy="5783580"/>
                <wp:effectExtent l="0" t="0" r="18415" b="2667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7535" cy="5783580"/>
                        </a:xfrm>
                        <a:prstGeom prst="rect">
                          <a:avLst/>
                        </a:prstGeom>
                        <a:solidFill>
                          <a:srgbClr val="FFFFCC"/>
                        </a:solidFill>
                        <a:ln w="19050">
                          <a:solidFill>
                            <a:srgbClr val="000000"/>
                          </a:solidFill>
                          <a:miter lim="800000"/>
                          <a:headEnd/>
                          <a:tailEnd/>
                        </a:ln>
                      </wps:spPr>
                      <wps:txbx>
                        <w:txbxContent>
                          <w:p w:rsidR="00072BA1" w:rsidRPr="00072BA1" w:rsidRDefault="00072BA1" w:rsidP="005614AA">
                            <w:pPr>
                              <w:shd w:val="clear" w:color="auto" w:fill="FFFFCC"/>
                              <w:rPr>
                                <w:b/>
                              </w:rPr>
                            </w:pPr>
                            <w:r w:rsidRPr="00072BA1">
                              <w:rPr>
                                <w:b/>
                              </w:rPr>
                              <w:t>Betreff: Sanfter Tod</w:t>
                            </w:r>
                          </w:p>
                          <w:p w:rsidR="00072BA1" w:rsidRDefault="00072BA1" w:rsidP="005614AA">
                            <w:pPr>
                              <w:shd w:val="clear" w:color="auto" w:fill="FFFFCC"/>
                            </w:pPr>
                            <w:r>
                              <w:t>Hallo in die Runde, liebe Jagdinteressierte,</w:t>
                            </w:r>
                          </w:p>
                          <w:p w:rsidR="00072BA1" w:rsidRDefault="00072BA1" w:rsidP="005614AA">
                            <w:pPr>
                              <w:shd w:val="clear" w:color="auto" w:fill="FFFFCC"/>
                            </w:pPr>
                            <w:r>
                              <w:t>ich muss jetzt mal etwas loswerden. Ich bin nicht grundsätzlich gegen das Jagen von Wildtieren. Aber das Töten mit Schusswaffen, wie es bei uns in Deutschland beispielsweise üblich ist, finde ich doch ziemlich grausam – vor allem, weil ich gehört habe, dass bei einem Drittel der abgegebenen Schüsse die Tiere nicht richtig getroffen werden. Da sind uns manche Naturvölker aus Südamerika voraus. Die jagen mit einem natürlichen Gift aus Pflanzen. Das enthält den Wirkstoff Tubocurarin und wird auf die Spitze von Pfeilen aufgetragen. Damit spüren getroffene Tiere bloß einen kurzen Einstich und schlafen dann friedlich ein. Das wäre doch mal etwas zum Nachmachen!</w:t>
                            </w:r>
                          </w:p>
                          <w:p w:rsidR="00072BA1" w:rsidRPr="005614AA" w:rsidRDefault="00072BA1" w:rsidP="005614AA">
                            <w:pPr>
                              <w:shd w:val="clear" w:color="auto" w:fill="FFFFCC"/>
                              <w:rPr>
                                <w:i/>
                              </w:rPr>
                            </w:pPr>
                            <w:r w:rsidRPr="005614AA">
                              <w:rPr>
                                <w:i/>
                              </w:rPr>
                              <w:t>Es grüßt herzlich: Janina (22)</w:t>
                            </w:r>
                          </w:p>
                        </w:txbxContent>
                      </wps:txbx>
                      <wps:bodyPr rot="0" vert="horz" wrap="square" lIns="216000" tIns="180000" rIns="21600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8pt;margin-top:10.4pt;width:447.05pt;height:455.4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" fillcolor="#ffc" strokeweight="1.5pt">
                <v:textbox inset="6mm,5mm,6mm">
                  <w:txbxContent>
                    <w:p w:rsidR="00072BA1" w:rsidRPr="00072BA1" w:rsidRDefault="00072BA1" w:rsidP="005614AA">
                      <w:pPr>
                        <w:shd w:val="clear" w:color="auto" w:fill="FFFFCC"/>
                        <w:rPr>
                          <w:b/>
                        </w:rPr>
                      </w:pPr>
                      <w:r w:rsidRPr="00072BA1">
                        <w:rPr>
                          <w:b/>
                        </w:rPr>
                        <w:t>Betreff: Sanfter Tod</w:t>
                      </w:r>
                    </w:p>
                    <w:p w:rsidR="00072BA1" w:rsidRDefault="00072BA1" w:rsidP="005614AA">
                      <w:pPr>
                        <w:shd w:val="clear" w:color="auto" w:fill="FFFFCC"/>
                      </w:pPr>
                      <w:r>
                        <w:t>Hallo in die Runde, liebe Jagdinteressierte,</w:t>
                      </w:r>
                    </w:p>
                    <w:p w:rsidR="00072BA1" w:rsidRDefault="00072BA1" w:rsidP="005614AA">
                      <w:pPr>
                        <w:shd w:val="clear" w:color="auto" w:fill="FFFFCC"/>
                      </w:pPr>
                      <w:r>
                        <w:t xml:space="preserve">ich muss jetzt mal etwas loswerden. Ich bin nicht grundsätzlich gegen das Jagen von Wildtieren. Aber das Töten mit Schusswaffen, wie es bei uns in Deutschland beispielsweise üblich ist, finde ich doch ziemlich grausam – vor allem, weil ich gehört habe, dass bei einem Drittel der abgegebenen Schüsse die Tiere nicht richtig getroffen werden. Da sind uns manche Naturvölker aus Südamerika voraus. Die jagen mit einem natürlichen Gift aus Pflanzen. Das enthält den Wirkstoff </w:t>
                      </w:r>
                      <w:proofErr w:type="spellStart"/>
                      <w:r>
                        <w:t>Tubocurarin</w:t>
                      </w:r>
                      <w:proofErr w:type="spellEnd"/>
                      <w:r>
                        <w:t xml:space="preserve"> und wird auf die Spitze von Pfeilen aufgetragen. Damit spüren getroffene Tiere bloß einen kurzen Einstich und schlafen dann friedlich ein. Das wäre doch mal etwas zum Nachmachen!</w:t>
                      </w:r>
                    </w:p>
                    <w:p w:rsidR="00072BA1" w:rsidRPr="005614AA" w:rsidRDefault="00072BA1" w:rsidP="005614AA">
                      <w:pPr>
                        <w:shd w:val="clear" w:color="auto" w:fill="FFFFCC"/>
                        <w:rPr>
                          <w:i/>
                        </w:rPr>
                      </w:pPr>
                      <w:r w:rsidRPr="005614AA">
                        <w:rPr>
                          <w:i/>
                        </w:rPr>
                        <w:t>Es grüßt herzlich: Janina (22)</w:t>
                      </w:r>
                    </w:p>
                  </w:txbxContent>
                </v:textbox>
                <w10:wrap anchorx="margin"/>
              </v:shape>
            </w:pict>
          </mc:Fallback>
        </mc:AlternateContent>
      </w:r>
    </w:p>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072BA1" w:rsidRDefault="00072BA1" w:rsidP="00072BA1"/>
    <w:p w:rsidR="00140778" w:rsidRDefault="00140778" w:rsidP="005614AA"/>
    <w:p w:rsidR="005614AA" w:rsidRDefault="005614AA" w:rsidP="005614AA">
      <w:r>
        <w:t>Über ethisch vertretbare Jagdmethoden äußerte sich auch der Deutsche Jagdverband:</w:t>
      </w:r>
    </w:p>
    <w:p w:rsidR="005614AA" w:rsidRDefault="005614AA" w:rsidP="005614AA">
      <w:r>
        <w:t xml:space="preserve">Gemäß des deutschen Jagdgesetzes sind bei der Jagdausübung die Grundsätze der deutschen Waidgerechtigkeit zu beachten. </w:t>
      </w:r>
      <w:r>
        <w:lastRenderedPageBreak/>
        <w:t>Dies beinhaltet das Vermeiden von unnötigem Tierleid,</w:t>
      </w:r>
      <w:r w:rsidR="00633F01">
        <w:br/>
      </w:r>
      <w:r>
        <w:t>z. B. durch die Verwendung von Patronen mit bestimmter Auftreffenergie. Die Jagdausbildung erfordert eine korrekte Schießtechnik, einschließlich des Blattschusses, der das Tier durch einen gezielten Treffer in die Herzkammer schnell und schmerzlos tötet.</w:t>
      </w:r>
    </w:p>
    <w:p w:rsidR="00072BA1" w:rsidRPr="00072BA1" w:rsidRDefault="005614AA" w:rsidP="005614AA">
      <w:r>
        <w:t>(Deutscher Jagdverband, 2000)</w:t>
      </w:r>
    </w:p>
    <w:sectPr w:rsidR="00072BA1" w:rsidRPr="00072BA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51F" w:rsidRDefault="00E0651F" w:rsidP="00E0651F">
      <w:pPr>
        <w:spacing w:after="0" w:line="240" w:lineRule="auto"/>
      </w:pPr>
      <w:r>
        <w:separator/>
      </w:r>
    </w:p>
  </w:endnote>
  <w:endnote w:type="continuationSeparator" w:id="0">
    <w:p w:rsidR="00E0651F" w:rsidRDefault="00E0651F" w:rsidP="00E06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1F" w:rsidRDefault="0038642B" w:rsidP="00697172">
    <w:pPr>
      <w:pStyle w:val="Fuzeile"/>
      <w:jc w:val="right"/>
    </w:pPr>
    <w:r>
      <w:t>Biologie</w:t>
    </w:r>
    <w:r w:rsidR="00E0651F">
      <w:t xml:space="preserve"> eA - </w:t>
    </w:r>
    <w:r w:rsidR="00945912">
      <w:t xml:space="preserve">Aufgabe </w:t>
    </w:r>
    <w:r>
      <w:t>2</w:t>
    </w:r>
    <w:r w:rsidR="00E0651F">
      <w:t xml:space="preserve"> - Seite </w:t>
    </w:r>
    <w:r w:rsidR="00E0651F" w:rsidRPr="00E0651F">
      <w:rPr>
        <w:bCs/>
      </w:rPr>
      <w:fldChar w:fldCharType="begin"/>
    </w:r>
    <w:r w:rsidR="00E0651F" w:rsidRPr="00E0651F">
      <w:rPr>
        <w:bCs/>
      </w:rPr>
      <w:instrText>PAGE  \* Arabic  \* MERGEFORMAT</w:instrText>
    </w:r>
    <w:r w:rsidR="00E0651F" w:rsidRPr="00E0651F">
      <w:rPr>
        <w:bCs/>
      </w:rPr>
      <w:fldChar w:fldCharType="separate"/>
    </w:r>
    <w:r w:rsidR="00BE37F3">
      <w:rPr>
        <w:bCs/>
        <w:noProof/>
      </w:rPr>
      <w:t>11</w:t>
    </w:r>
    <w:r w:rsidR="00E0651F" w:rsidRPr="00E0651F">
      <w:rPr>
        <w:bCs/>
      </w:rPr>
      <w:fldChar w:fldCharType="end"/>
    </w:r>
    <w:r w:rsidR="00E0651F">
      <w:t xml:space="preserve"> von</w:t>
    </w:r>
    <w:r w:rsidR="00E0651F" w:rsidRPr="00E0651F">
      <w:t xml:space="preserve"> </w:t>
    </w:r>
    <w:r w:rsidR="00E0651F" w:rsidRPr="00E0651F">
      <w:rPr>
        <w:bCs/>
      </w:rPr>
      <w:fldChar w:fldCharType="begin"/>
    </w:r>
    <w:r w:rsidR="00E0651F" w:rsidRPr="00E0651F">
      <w:rPr>
        <w:bCs/>
      </w:rPr>
      <w:instrText>NUMPAGES  \* Arabic  \* MERGEFORMAT</w:instrText>
    </w:r>
    <w:r w:rsidR="00E0651F" w:rsidRPr="00E0651F">
      <w:rPr>
        <w:bCs/>
      </w:rPr>
      <w:fldChar w:fldCharType="separate"/>
    </w:r>
    <w:r w:rsidR="00BE37F3">
      <w:rPr>
        <w:bCs/>
        <w:noProof/>
      </w:rPr>
      <w:t>11</w:t>
    </w:r>
    <w:r w:rsidR="00E0651F" w:rsidRPr="00E0651F">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51F" w:rsidRDefault="00E0651F" w:rsidP="00E0651F">
      <w:pPr>
        <w:spacing w:after="0" w:line="240" w:lineRule="auto"/>
      </w:pPr>
      <w:r>
        <w:separator/>
      </w:r>
    </w:p>
  </w:footnote>
  <w:footnote w:type="continuationSeparator" w:id="0">
    <w:p w:rsidR="00E0651F" w:rsidRDefault="00E0651F" w:rsidP="00E065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9B"/>
    <w:rsid w:val="000476DF"/>
    <w:rsid w:val="00072BA1"/>
    <w:rsid w:val="000E4AFB"/>
    <w:rsid w:val="000F2713"/>
    <w:rsid w:val="00140778"/>
    <w:rsid w:val="001C0520"/>
    <w:rsid w:val="001F5413"/>
    <w:rsid w:val="00202A33"/>
    <w:rsid w:val="00207FD0"/>
    <w:rsid w:val="002728E9"/>
    <w:rsid w:val="002863AA"/>
    <w:rsid w:val="002945A6"/>
    <w:rsid w:val="003172F5"/>
    <w:rsid w:val="0037129A"/>
    <w:rsid w:val="00376391"/>
    <w:rsid w:val="0038642B"/>
    <w:rsid w:val="00395E9B"/>
    <w:rsid w:val="003B450E"/>
    <w:rsid w:val="003D33FF"/>
    <w:rsid w:val="003F49D1"/>
    <w:rsid w:val="004A2F29"/>
    <w:rsid w:val="004B0B47"/>
    <w:rsid w:val="004B595C"/>
    <w:rsid w:val="00511408"/>
    <w:rsid w:val="00516498"/>
    <w:rsid w:val="005543C2"/>
    <w:rsid w:val="005614AA"/>
    <w:rsid w:val="00565C83"/>
    <w:rsid w:val="00633F01"/>
    <w:rsid w:val="0064665E"/>
    <w:rsid w:val="006637AB"/>
    <w:rsid w:val="00697172"/>
    <w:rsid w:val="006C2C59"/>
    <w:rsid w:val="006C4069"/>
    <w:rsid w:val="006D1FA1"/>
    <w:rsid w:val="006E6322"/>
    <w:rsid w:val="007F64DE"/>
    <w:rsid w:val="00841B0C"/>
    <w:rsid w:val="008A47F7"/>
    <w:rsid w:val="008E64E3"/>
    <w:rsid w:val="008F32B4"/>
    <w:rsid w:val="008F63FB"/>
    <w:rsid w:val="009176D4"/>
    <w:rsid w:val="00945912"/>
    <w:rsid w:val="009C25AC"/>
    <w:rsid w:val="009E5CE2"/>
    <w:rsid w:val="009E6FA1"/>
    <w:rsid w:val="00A0791F"/>
    <w:rsid w:val="00A2027A"/>
    <w:rsid w:val="00A27E56"/>
    <w:rsid w:val="00A47E3C"/>
    <w:rsid w:val="00A57D50"/>
    <w:rsid w:val="00B17B36"/>
    <w:rsid w:val="00B42B92"/>
    <w:rsid w:val="00B56186"/>
    <w:rsid w:val="00BA0894"/>
    <w:rsid w:val="00BE37F3"/>
    <w:rsid w:val="00BF5D39"/>
    <w:rsid w:val="00C11AFC"/>
    <w:rsid w:val="00C16AEF"/>
    <w:rsid w:val="00C64755"/>
    <w:rsid w:val="00CC04C6"/>
    <w:rsid w:val="00CE6518"/>
    <w:rsid w:val="00D36975"/>
    <w:rsid w:val="00D55A85"/>
    <w:rsid w:val="00D6723A"/>
    <w:rsid w:val="00DA219F"/>
    <w:rsid w:val="00DD1373"/>
    <w:rsid w:val="00DE7D30"/>
    <w:rsid w:val="00E0651F"/>
    <w:rsid w:val="00E66527"/>
    <w:rsid w:val="00E67B7D"/>
    <w:rsid w:val="00EB7A38"/>
    <w:rsid w:val="00ED3A47"/>
    <w:rsid w:val="00F01C35"/>
    <w:rsid w:val="00F478E1"/>
    <w:rsid w:val="00F85ADF"/>
    <w:rsid w:val="00FB72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D6764-AA24-48E4-BEBD-145C09A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6AEF"/>
    <w:pPr>
      <w:spacing w:after="120" w:line="360" w:lineRule="auto"/>
    </w:pPr>
    <w:rPr>
      <w:rFonts w:ascii="Verdana" w:hAnsi="Verdana"/>
      <w:sz w:val="28"/>
    </w:rPr>
  </w:style>
  <w:style w:type="paragraph" w:styleId="berschrift1">
    <w:name w:val="heading 1"/>
    <w:basedOn w:val="Standard"/>
    <w:next w:val="Standard"/>
    <w:link w:val="berschrift1Zchn"/>
    <w:uiPriority w:val="9"/>
    <w:qFormat/>
    <w:rsid w:val="006E6322"/>
    <w:pPr>
      <w:keepNext/>
      <w:tabs>
        <w:tab w:val="left" w:pos="680"/>
      </w:tabs>
      <w:spacing w:before="480" w:after="24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6E6322"/>
    <w:pPr>
      <w:keepNext/>
      <w:tabs>
        <w:tab w:val="left" w:pos="851"/>
      </w:tabs>
      <w:spacing w:before="360"/>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6E6322"/>
    <w:pPr>
      <w:keepNext/>
      <w:tabs>
        <w:tab w:val="left" w:pos="1134"/>
      </w:tabs>
      <w:spacing w:before="240" w:after="100"/>
      <w:outlineLvl w:val="2"/>
    </w:pPr>
    <w:rPr>
      <w:rFonts w:eastAsia="Calibri" w:cs="Arial"/>
      <w:b/>
      <w:bCs/>
      <w:sz w:val="32"/>
      <w:szCs w:val="26"/>
    </w:rPr>
  </w:style>
  <w:style w:type="paragraph" w:styleId="berschrift4">
    <w:name w:val="heading 4"/>
    <w:basedOn w:val="Standard"/>
    <w:next w:val="Standard"/>
    <w:link w:val="berschrift4Zchn"/>
    <w:uiPriority w:val="9"/>
    <w:unhideWhenUsed/>
    <w:qFormat/>
    <w:rsid w:val="0037129A"/>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6E6322"/>
    <w:pPr>
      <w:tabs>
        <w:tab w:val="left" w:pos="1701"/>
      </w:tabs>
      <w:spacing w:before="240" w:after="60"/>
      <w:outlineLvl w:val="4"/>
    </w:pPr>
    <w:rPr>
      <w:rFonts w:eastAsia="Calibri" w:cs="Arial"/>
      <w:b/>
      <w:bCs/>
      <w:iCs/>
      <w:sz w:val="24"/>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6322"/>
    <w:rPr>
      <w:rFonts w:ascii="Verdana" w:eastAsia="Calibri" w:hAnsi="Verdana" w:cs="Arial"/>
      <w:b/>
      <w:bCs/>
      <w:kern w:val="32"/>
      <w:sz w:val="40"/>
      <w:szCs w:val="32"/>
    </w:rPr>
  </w:style>
  <w:style w:type="character" w:customStyle="1" w:styleId="berschrift2Zchn">
    <w:name w:val="Überschrift 2 Zchn"/>
    <w:basedOn w:val="Absatz-Standardschriftart"/>
    <w:link w:val="berschrift2"/>
    <w:uiPriority w:val="9"/>
    <w:rsid w:val="006E6322"/>
    <w:rPr>
      <w:rFonts w:ascii="Verdana" w:eastAsia="Calibri" w:hAnsi="Verdana" w:cs="Arial"/>
      <w:b/>
      <w:bCs/>
      <w:iCs/>
      <w:sz w:val="36"/>
      <w:szCs w:val="28"/>
    </w:rPr>
  </w:style>
  <w:style w:type="character" w:customStyle="1" w:styleId="berschrift3Zchn">
    <w:name w:val="Überschrift 3 Zchn"/>
    <w:basedOn w:val="Absatz-Standardschriftart"/>
    <w:link w:val="berschrift3"/>
    <w:uiPriority w:val="9"/>
    <w:rsid w:val="006E6322"/>
    <w:rPr>
      <w:rFonts w:ascii="Verdana" w:eastAsia="Calibri" w:hAnsi="Verdana" w:cs="Arial"/>
      <w:b/>
      <w:bCs/>
      <w:sz w:val="32"/>
      <w:szCs w:val="26"/>
    </w:rPr>
  </w:style>
  <w:style w:type="character" w:customStyle="1" w:styleId="berschrift4Zchn">
    <w:name w:val="Überschrift 4 Zchn"/>
    <w:basedOn w:val="Absatz-Standardschriftart"/>
    <w:link w:val="berschrift4"/>
    <w:uiPriority w:val="9"/>
    <w:rsid w:val="0037129A"/>
    <w:rPr>
      <w:rFonts w:ascii="Verdana" w:eastAsia="Calibri" w:hAnsi="Verdana" w:cs="Arial"/>
      <w:b/>
      <w:bCs/>
      <w:sz w:val="40"/>
      <w:szCs w:val="28"/>
    </w:rPr>
  </w:style>
  <w:style w:type="character" w:customStyle="1" w:styleId="berschrift5Zchn">
    <w:name w:val="Überschrift 5 Zchn"/>
    <w:basedOn w:val="Absatz-Standardschriftart"/>
    <w:link w:val="berschrift5"/>
    <w:uiPriority w:val="9"/>
    <w:rsid w:val="006E6322"/>
    <w:rPr>
      <w:rFonts w:ascii="Verdana" w:eastAsia="Calibri" w:hAnsi="Verdana"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D6723A"/>
    <w:pPr>
      <w:ind w:left="737" w:hanging="737"/>
    </w:pPr>
    <w:rPr>
      <w:rFonts w:eastAsia="Calibri" w:cs="Arial"/>
      <w:szCs w:val="22"/>
    </w:rPr>
  </w:style>
  <w:style w:type="paragraph" w:styleId="Listenfortsetzung">
    <w:name w:val="List Continue"/>
    <w:basedOn w:val="Standard"/>
    <w:uiPriority w:val="99"/>
    <w:unhideWhenUsed/>
    <w:qFormat/>
    <w:rsid w:val="00D6723A"/>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C16A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065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51F"/>
    <w:rPr>
      <w:rFonts w:ascii="Verdana" w:hAnsi="Verdana"/>
      <w:sz w:val="28"/>
    </w:rPr>
  </w:style>
  <w:style w:type="paragraph" w:styleId="Fuzeile">
    <w:name w:val="footer"/>
    <w:basedOn w:val="Standard"/>
    <w:link w:val="FuzeileZchn"/>
    <w:uiPriority w:val="99"/>
    <w:unhideWhenUsed/>
    <w:rsid w:val="00E065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51F"/>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20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A6E15-180C-4DCC-A07C-FB9AC7A2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582</Words>
  <Characters>3672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36</cp:revision>
  <dcterms:created xsi:type="dcterms:W3CDTF">2025-02-27T11:23:00Z</dcterms:created>
  <dcterms:modified xsi:type="dcterms:W3CDTF">2025-09-05T06:20:00Z</dcterms:modified>
</cp:coreProperties>
</file>